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5646" w14:textId="77777777" w:rsidR="00AC6358" w:rsidRPr="00F436DB" w:rsidRDefault="00AC6358" w:rsidP="00AC6358">
      <w:pPr>
        <w:spacing w:line="276" w:lineRule="auto"/>
        <w:ind w:right="4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C44AC58" w14:textId="77777777" w:rsidR="00AC6358" w:rsidRPr="00006D9D" w:rsidRDefault="00AC6358" w:rsidP="00AC635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6D9D">
        <w:rPr>
          <w:rFonts w:ascii="Arial" w:hAnsi="Arial" w:cs="Arial"/>
          <w:b/>
          <w:sz w:val="22"/>
          <w:szCs w:val="22"/>
        </w:rPr>
        <w:t>EL LIC. ROMÁN ALBERTO CEPEDA GONZÁLEZ, PRESIDENTE DEL R. AYUNTAMIENTO DEL MUNICIPIO DE TORREÓN, ESTADO DE COAHUILA DE ZARAGOZA A LOS HABITANTES DEL MISMO, LES HACE SABER:</w:t>
      </w:r>
    </w:p>
    <w:p w14:paraId="5194A1FB" w14:textId="77777777" w:rsidR="00AC6358" w:rsidRPr="00006D9D" w:rsidRDefault="00AC6358" w:rsidP="00AC63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16F73E" w14:textId="05148345" w:rsidR="00AC6358" w:rsidRPr="00006D9D" w:rsidRDefault="00AC6358" w:rsidP="00AC63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D9D">
        <w:rPr>
          <w:rFonts w:ascii="Arial" w:hAnsi="Arial" w:cs="Arial"/>
          <w:sz w:val="22"/>
          <w:szCs w:val="22"/>
        </w:rPr>
        <w:t xml:space="preserve">Que el R. Ayuntamiento que preside, en el uso de la facultad que le confieren los artículos 115, fracción II, de la Constitución Política de los Estados Unidos Mexicanos;  158-C y el inciso 1, fracción I,  del artículo 158-U de la Constitución Política del Estado de Coahuila de Zaragoza, los artículos 24, 102 fracción I, Inciso 1, 173,  175, 176, 181 y 182 fracción I  del Código Municipal del Estado de Coahuila de Zaragoza y por lo establecido en los artículos 122, 124 inciso a)  y 125 del Reglamento Interior del Republicano Ayuntamiento de Torreón, Coahuila de Zaragoza, en la </w:t>
      </w:r>
      <w:r>
        <w:rPr>
          <w:rFonts w:ascii="Arial" w:hAnsi="Arial" w:cs="Arial"/>
          <w:sz w:val="22"/>
          <w:szCs w:val="22"/>
        </w:rPr>
        <w:t>Trigésima Q</w:t>
      </w:r>
      <w:r w:rsidR="00A3194E">
        <w:rPr>
          <w:rFonts w:ascii="Arial" w:hAnsi="Arial" w:cs="Arial"/>
          <w:sz w:val="22"/>
          <w:szCs w:val="22"/>
        </w:rPr>
        <w:t>uinta</w:t>
      </w:r>
      <w:r w:rsidRPr="00006D9D">
        <w:rPr>
          <w:rFonts w:ascii="Arial" w:hAnsi="Arial" w:cs="Arial"/>
          <w:sz w:val="22"/>
          <w:szCs w:val="22"/>
        </w:rPr>
        <w:t xml:space="preserve"> Sesión Ordinaria de Cabildo celebrada el día </w:t>
      </w:r>
      <w:r w:rsidR="00A3194E">
        <w:rPr>
          <w:rFonts w:ascii="Arial" w:hAnsi="Arial" w:cs="Arial"/>
          <w:sz w:val="22"/>
          <w:szCs w:val="22"/>
        </w:rPr>
        <w:t>0</w:t>
      </w:r>
      <w:r w:rsidR="00310C50">
        <w:rPr>
          <w:rFonts w:ascii="Arial" w:hAnsi="Arial" w:cs="Arial"/>
          <w:sz w:val="22"/>
          <w:szCs w:val="22"/>
        </w:rPr>
        <w:t>8</w:t>
      </w:r>
      <w:r w:rsidRPr="00006D9D">
        <w:rPr>
          <w:rFonts w:ascii="Arial" w:hAnsi="Arial" w:cs="Arial"/>
          <w:sz w:val="22"/>
          <w:szCs w:val="22"/>
        </w:rPr>
        <w:t xml:space="preserve"> de </w:t>
      </w:r>
      <w:r w:rsidR="00A3194E">
        <w:rPr>
          <w:rFonts w:ascii="Arial" w:hAnsi="Arial" w:cs="Arial"/>
          <w:sz w:val="22"/>
          <w:szCs w:val="22"/>
        </w:rPr>
        <w:t>junio</w:t>
      </w:r>
      <w:r w:rsidRPr="00006D9D">
        <w:rPr>
          <w:rFonts w:ascii="Arial" w:hAnsi="Arial" w:cs="Arial"/>
          <w:sz w:val="22"/>
          <w:szCs w:val="22"/>
        </w:rPr>
        <w:t xml:space="preserve"> de 202</w:t>
      </w:r>
      <w:r w:rsidR="00A3194E">
        <w:rPr>
          <w:rFonts w:ascii="Arial" w:hAnsi="Arial" w:cs="Arial"/>
          <w:sz w:val="22"/>
          <w:szCs w:val="22"/>
        </w:rPr>
        <w:t>3</w:t>
      </w:r>
      <w:r w:rsidRPr="00006D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</w:t>
      </w:r>
      <w:r w:rsidRPr="00006D9D">
        <w:rPr>
          <w:rFonts w:ascii="Arial" w:hAnsi="Arial" w:cs="Arial"/>
          <w:sz w:val="22"/>
          <w:szCs w:val="22"/>
        </w:rPr>
        <w:t xml:space="preserve"> aprobó </w:t>
      </w:r>
      <w:r w:rsidR="00A3194E">
        <w:rPr>
          <w:rFonts w:ascii="Arial" w:hAnsi="Arial" w:cs="Arial"/>
          <w:sz w:val="22"/>
          <w:szCs w:val="22"/>
        </w:rPr>
        <w:t>la</w:t>
      </w:r>
      <w:r w:rsidRPr="00006D9D">
        <w:rPr>
          <w:rFonts w:ascii="Arial" w:hAnsi="Arial" w:cs="Arial"/>
          <w:sz w:val="22"/>
          <w:szCs w:val="22"/>
        </w:rPr>
        <w:t>:</w:t>
      </w:r>
    </w:p>
    <w:p w14:paraId="6217F64A" w14:textId="77777777" w:rsidR="00AC6358" w:rsidRDefault="00AC6358" w:rsidP="00AC6358">
      <w:pPr>
        <w:tabs>
          <w:tab w:val="left" w:pos="8222"/>
        </w:tabs>
        <w:spacing w:line="276" w:lineRule="auto"/>
        <w:ind w:left="851" w:right="616"/>
        <w:jc w:val="center"/>
        <w:rPr>
          <w:rFonts w:ascii="Arial" w:eastAsia="Arial Narrow" w:hAnsi="Arial" w:cs="Arial"/>
          <w:b/>
          <w:color w:val="000000"/>
          <w:sz w:val="22"/>
          <w:szCs w:val="22"/>
        </w:rPr>
      </w:pPr>
    </w:p>
    <w:p w14:paraId="42082870" w14:textId="235C0686" w:rsidR="00A3194E" w:rsidRDefault="001476DF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REFORMA AL </w:t>
      </w:r>
      <w:r w:rsidR="00C27F6B"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REGLAMENTO PARA EL RECONOCIMIENTO DE CIUDADANÍA DISTINGUIDA</w:t>
      </w:r>
      <w:r w:rsidR="00310C50">
        <w:rPr>
          <w:rFonts w:ascii="Arial" w:hAnsi="Arial" w:cs="Arial"/>
          <w:iCs/>
          <w:sz w:val="22"/>
          <w:szCs w:val="22"/>
        </w:rPr>
        <w:t>.</w:t>
      </w:r>
    </w:p>
    <w:p w14:paraId="4E041E76" w14:textId="77777777" w:rsidR="00C27F6B" w:rsidRDefault="00C27F6B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</w:p>
    <w:p w14:paraId="0F11838A" w14:textId="58D5DE29" w:rsidR="00AC6358" w:rsidRPr="00AC6358" w:rsidRDefault="00C27F6B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</w:t>
      </w:r>
      <w:r w:rsidR="001476DF">
        <w:rPr>
          <w:rFonts w:ascii="Arial" w:hAnsi="Arial" w:cs="Arial"/>
          <w:iCs/>
          <w:sz w:val="22"/>
          <w:szCs w:val="22"/>
        </w:rPr>
        <w:t xml:space="preserve"> modifica </w:t>
      </w:r>
      <w:r w:rsidR="008C6A03">
        <w:rPr>
          <w:rFonts w:ascii="Arial" w:hAnsi="Arial" w:cs="Arial"/>
          <w:iCs/>
          <w:sz w:val="22"/>
          <w:szCs w:val="22"/>
        </w:rPr>
        <w:t>el</w:t>
      </w:r>
      <w:r w:rsidR="001476DF">
        <w:rPr>
          <w:rFonts w:ascii="Arial" w:hAnsi="Arial" w:cs="Arial"/>
          <w:iCs/>
          <w:sz w:val="22"/>
          <w:szCs w:val="22"/>
        </w:rPr>
        <w:t xml:space="preserve"> </w:t>
      </w:r>
      <w:r w:rsidR="008C6A03">
        <w:rPr>
          <w:rFonts w:ascii="Arial" w:hAnsi="Arial" w:cs="Arial"/>
          <w:iCs/>
          <w:sz w:val="22"/>
          <w:szCs w:val="22"/>
        </w:rPr>
        <w:t>inciso</w:t>
      </w:r>
      <w:r w:rsidR="001476DF">
        <w:rPr>
          <w:rFonts w:ascii="Arial" w:hAnsi="Arial" w:cs="Arial"/>
          <w:iCs/>
          <w:sz w:val="22"/>
          <w:szCs w:val="22"/>
        </w:rPr>
        <w:t xml:space="preserve"> e), se recorre el contenido de las fracciones subsecuentes </w:t>
      </w:r>
      <w:r w:rsidR="00422A63">
        <w:rPr>
          <w:rFonts w:ascii="Arial" w:hAnsi="Arial" w:cs="Arial"/>
          <w:iCs/>
          <w:sz w:val="22"/>
          <w:szCs w:val="22"/>
        </w:rPr>
        <w:t xml:space="preserve">del inciso f) al i) </w:t>
      </w:r>
      <w:r w:rsidR="001476DF">
        <w:rPr>
          <w:rFonts w:ascii="Arial" w:hAnsi="Arial" w:cs="Arial"/>
          <w:iCs/>
          <w:sz w:val="22"/>
          <w:szCs w:val="22"/>
        </w:rPr>
        <w:t xml:space="preserve">y se adiciona </w:t>
      </w:r>
      <w:r w:rsidR="008C6A03">
        <w:rPr>
          <w:rFonts w:ascii="Arial" w:hAnsi="Arial" w:cs="Arial"/>
          <w:iCs/>
          <w:sz w:val="22"/>
          <w:szCs w:val="22"/>
        </w:rPr>
        <w:t>el inciso</w:t>
      </w:r>
      <w:r w:rsidR="001476DF">
        <w:rPr>
          <w:rFonts w:ascii="Arial" w:hAnsi="Arial" w:cs="Arial"/>
          <w:iCs/>
          <w:sz w:val="22"/>
          <w:szCs w:val="22"/>
        </w:rPr>
        <w:t xml:space="preserve"> j) del artículo 3; </w:t>
      </w:r>
      <w:r w:rsidR="008C6A03">
        <w:rPr>
          <w:rFonts w:ascii="Arial" w:hAnsi="Arial" w:cs="Arial"/>
          <w:iCs/>
          <w:sz w:val="22"/>
          <w:szCs w:val="22"/>
        </w:rPr>
        <w:t xml:space="preserve">se modifican los incisos c) y f) y se adiciona el inciso g) y se modifican los artículos 5, 7, 11 primer párrafo y 12, todos </w:t>
      </w:r>
      <w:r w:rsidR="00F436DB" w:rsidRP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 xml:space="preserve">del </w:t>
      </w:r>
      <w:r w:rsid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R</w:t>
      </w:r>
      <w:r w:rsidR="00F436DB" w:rsidRP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 xml:space="preserve">eglamento para el </w:t>
      </w:r>
      <w:r w:rsid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R</w:t>
      </w:r>
      <w:r w:rsidR="00F436DB" w:rsidRP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 xml:space="preserve">econocimiento de </w:t>
      </w:r>
      <w:r w:rsid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C</w:t>
      </w:r>
      <w:r w:rsidR="00F436DB" w:rsidRP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 xml:space="preserve">iudadanía </w:t>
      </w:r>
      <w:r w:rsid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D</w:t>
      </w:r>
      <w:r w:rsidR="00F436DB" w:rsidRPr="00F436DB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istinguida</w:t>
      </w:r>
      <w:r w:rsidR="00F436DB" w:rsidRPr="00F436DB">
        <w:rPr>
          <w:rFonts w:ascii="Arial" w:hAnsi="Arial" w:cs="Arial"/>
          <w:iCs/>
          <w:sz w:val="22"/>
          <w:szCs w:val="22"/>
        </w:rPr>
        <w:t>,</w:t>
      </w:r>
      <w:r w:rsidR="00F436DB">
        <w:rPr>
          <w:rFonts w:ascii="Arial" w:hAnsi="Arial" w:cs="Arial"/>
          <w:iCs/>
          <w:sz w:val="22"/>
          <w:szCs w:val="22"/>
        </w:rPr>
        <w:t xml:space="preserve"> </w:t>
      </w:r>
      <w:r w:rsidRPr="00AC6358">
        <w:rPr>
          <w:rFonts w:ascii="Arial" w:hAnsi="Arial" w:cs="Arial"/>
          <w:iCs/>
          <w:sz w:val="22"/>
          <w:szCs w:val="22"/>
        </w:rPr>
        <w:t>aprobado en la Décima Segunda Sesión Ordinaria de Cabildo celebrada el día 14 de junio</w:t>
      </w:r>
      <w:r w:rsidR="00AC6358" w:rsidRPr="00AC635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de 2019, </w:t>
      </w:r>
      <w:r w:rsidR="00AC6358" w:rsidRPr="00AC6358">
        <w:rPr>
          <w:rFonts w:ascii="Arial" w:hAnsi="Arial" w:cs="Arial"/>
          <w:iCs/>
          <w:sz w:val="22"/>
          <w:szCs w:val="22"/>
        </w:rPr>
        <w:t>para quedar como sigue:</w:t>
      </w:r>
    </w:p>
    <w:p w14:paraId="2DF00379" w14:textId="77777777" w:rsidR="00AC6358" w:rsidRPr="00AC6358" w:rsidRDefault="00AC6358" w:rsidP="00AC6358">
      <w:pPr>
        <w:spacing w:line="276" w:lineRule="auto"/>
        <w:ind w:right="49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61EF7C4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  <w:t>ART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ÍCULO 3.-</w:t>
      </w:r>
    </w:p>
    <w:p w14:paraId="5D13F4A4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Las preseas serán entregadas de acuerdo a las siguientes categorías:</w:t>
      </w:r>
    </w:p>
    <w:p w14:paraId="619D1AA2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631397A2" w14:textId="77777777" w:rsidR="00AC6358" w:rsidRPr="00AC6358" w:rsidRDefault="00AC6358" w:rsidP="00AC6358">
      <w:pPr>
        <w:pStyle w:val="Prrafodelista"/>
        <w:numPr>
          <w:ilvl w:val="0"/>
          <w:numId w:val="2"/>
        </w:numPr>
        <w:spacing w:line="276" w:lineRule="auto"/>
        <w:ind w:left="0" w:right="49" w:firstLine="0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proofErr w:type="gramStart"/>
      <w:r w:rsidRPr="00AC6358"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a  d</w:t>
      </w:r>
      <w:proofErr w:type="gramEnd"/>
      <w:r w:rsidRPr="00AC6358"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)….</w:t>
      </w:r>
    </w:p>
    <w:p w14:paraId="01AD1971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</w:p>
    <w:p w14:paraId="68B5B3A1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  <w:r w:rsidRPr="00AC6358"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e)   MEDALLA DE ORO POST </w:t>
      </w:r>
      <w:proofErr w:type="gramStart"/>
      <w:r w:rsidRPr="00AC6358"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MORTEM.-</w:t>
      </w:r>
      <w:proofErr w:type="gramEnd"/>
      <w:r w:rsidRPr="00AC6358">
        <w:rPr>
          <w:rFonts w:ascii="Arial" w:eastAsia="Arial" w:hAnsi="Arial" w:cs="Arial"/>
          <w:iCs/>
          <w:color w:val="000000"/>
          <w:sz w:val="22"/>
          <w:szCs w:val="22"/>
          <w:u w:color="000000"/>
          <w:lang w:eastAsia="es-MX"/>
        </w:rPr>
        <w:t xml:space="preserve"> Se otorga en memoria de la persona ya fallecida </w:t>
      </w:r>
      <w:r w:rsidRPr="00AC6358">
        <w:rPr>
          <w:rFonts w:ascii="Arial" w:hAnsi="Arial" w:cs="Arial"/>
          <w:iCs/>
          <w:sz w:val="22"/>
          <w:szCs w:val="22"/>
        </w:rPr>
        <w:t xml:space="preserve">que por su gran labor, reconocida trayectoria, grandes méritos y aportaciones a la sociedad, se haya destacado en </w:t>
      </w:r>
      <w:r w:rsidRPr="00AC6358">
        <w:rPr>
          <w:rFonts w:ascii="Arial" w:eastAsia="Arial Unicode MS" w:hAnsi="Arial" w:cs="Arial"/>
          <w:iCs/>
          <w:color w:val="000000"/>
          <w:sz w:val="22"/>
          <w:szCs w:val="22"/>
        </w:rPr>
        <w:t xml:space="preserve">labores artísticas, literarias, culturales, científicas, deportivas o </w:t>
      </w:r>
      <w:r w:rsidRPr="00AC6358">
        <w:rPr>
          <w:rFonts w:ascii="Arial" w:hAnsi="Arial" w:cs="Arial"/>
          <w:iCs/>
          <w:sz w:val="22"/>
          <w:szCs w:val="22"/>
        </w:rPr>
        <w:t>en servicio a la comunidad.</w:t>
      </w:r>
    </w:p>
    <w:p w14:paraId="1DB90E72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f)</w:t>
      </w:r>
      <w:r w:rsidRPr="00AC6358">
        <w:rPr>
          <w:rFonts w:ascii="Arial" w:hAnsi="Arial" w:cs="Arial"/>
          <w:iCs/>
          <w:sz w:val="22"/>
          <w:szCs w:val="22"/>
        </w:rPr>
        <w:t xml:space="preserve"> 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TROFEO DE CRISTAL: </w:t>
      </w:r>
      <w:r w:rsidRPr="00AC635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Se otorga a la persona que destaque o haya destacado en el campo deportivo.</w:t>
      </w:r>
    </w:p>
    <w:p w14:paraId="5F6BE58F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g</w:t>
      </w:r>
      <w:proofErr w:type="gramStart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).-</w:t>
      </w:r>
      <w:proofErr w:type="gramEnd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 TROFEO CRISTAL A LA PERSONA CON DISCAPACIDAD: </w:t>
      </w:r>
      <w:r w:rsidRPr="00AC635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Se otorga a la persona con discapacidad que destaque o haya destacado en el campo deportivo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.</w:t>
      </w:r>
    </w:p>
    <w:p w14:paraId="495276FD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h</w:t>
      </w:r>
      <w:proofErr w:type="gramStart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).-</w:t>
      </w:r>
      <w:proofErr w:type="gramEnd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 TROFEO ORIBE PERALTA AL MÉRITO OLÍMPICO: </w:t>
      </w:r>
      <w:r w:rsidRPr="00AC635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Se otorga a la persona que tenga una destacada participación en algunos Juegos Olímpicos o en sus versiones regionales (Juegos Centroamericanos) o continentales (Juegos Panamericanos).</w:t>
      </w:r>
    </w:p>
    <w:p w14:paraId="7BABB228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</w:pPr>
      <w:proofErr w:type="gramStart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lastRenderedPageBreak/>
        <w:t>i).-</w:t>
      </w:r>
      <w:proofErr w:type="gramEnd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 TROFEO NIÑOS HÉROES: </w:t>
      </w:r>
      <w:r w:rsidRPr="00AC635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Se otorga a la persona menor de 18 años que destaque ya sea en una o varias disciplinas deportivas o que destaque por sus méritos sociales o académicos.</w:t>
      </w:r>
    </w:p>
    <w:p w14:paraId="04DE981A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j</w:t>
      </w:r>
      <w:proofErr w:type="gramStart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).-</w:t>
      </w:r>
      <w:proofErr w:type="gramEnd"/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 TROFEO “NIÑOS HÉROES” PERSONA CON DISCAPACIDAD: </w:t>
      </w:r>
      <w:r w:rsidRPr="00AC635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eastAsia="es-MX"/>
        </w:rPr>
        <w:t>Se otorga a la persona menor de 18 años con discapacidad que destaque en una o varias disciplinas deportivas o que destaque por sus méritos sociales o académicos.</w:t>
      </w:r>
    </w:p>
    <w:p w14:paraId="6A7DE2C0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</w:p>
    <w:p w14:paraId="7A70E0A0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  <w:t>ART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 xml:space="preserve">ÍCULO 5.- </w:t>
      </w:r>
    </w:p>
    <w:p w14:paraId="57664426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pt-PT"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En caso del Reconocimiento Post Mortem, la presea será entregada a la persona que sea designada por la familia directa o bien a alguno de sus familiares más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pt-PT" w:eastAsia="es-MX"/>
        </w:rPr>
        <w:t xml:space="preserve"> cercanos.</w:t>
      </w:r>
    </w:p>
    <w:p w14:paraId="0951408C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</w:pPr>
    </w:p>
    <w:p w14:paraId="0D25ED11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  <w:t>ART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ÍCULO 7.-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 </w:t>
      </w:r>
    </w:p>
    <w:p w14:paraId="03044D1E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Las propuestas deberán presentarse en la Secretaría del R. Ayuntamiento a partir de la publicación de la convocatoria, teniendo como fecha límite para su presentación, el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lang w:eastAsia="es-MX"/>
        </w:rPr>
        <w:t>día 15 de agosto, o al siguiente día hábil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 de cada año.</w:t>
      </w:r>
    </w:p>
    <w:p w14:paraId="570F2441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</w:pPr>
    </w:p>
    <w:p w14:paraId="7AEEBFD5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  <w:t>ART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ÍCULO 10.-</w:t>
      </w:r>
    </w:p>
    <w:p w14:paraId="344246A4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it-IT" w:eastAsia="es-MX"/>
        </w:rPr>
        <w:t>Formar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á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it-IT" w:eastAsia="es-MX"/>
        </w:rPr>
        <w:t>n parte del Comit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é de Evaluación:</w:t>
      </w:r>
    </w:p>
    <w:p w14:paraId="6D9CC995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 I.-…</w:t>
      </w:r>
    </w:p>
    <w:p w14:paraId="32EE4853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7A5960E8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a)  a b</w:t>
      </w:r>
      <w:proofErr w:type="gramStart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)….</w:t>
      </w:r>
      <w:proofErr w:type="gramEnd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.</w:t>
      </w:r>
    </w:p>
    <w:p w14:paraId="51E78C6E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3B034462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c)  Instituto Municipal </w:t>
      </w:r>
      <w:proofErr w:type="gramStart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de  Cultura</w:t>
      </w:r>
      <w:proofErr w:type="gramEnd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 y Educación;</w:t>
      </w:r>
    </w:p>
    <w:p w14:paraId="07633713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044494B8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d) a </w:t>
      </w:r>
      <w:proofErr w:type="gramStart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e)…</w:t>
      </w:r>
      <w:proofErr w:type="gramEnd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.</w:t>
      </w:r>
    </w:p>
    <w:p w14:paraId="560A0EE4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5AEA1592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f)  Dirección de Comunicación Social e Imagen y;</w:t>
      </w:r>
    </w:p>
    <w:p w14:paraId="614A6C96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7F349B91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g)  Sistema para el Desarrollo Integral de la Familia. </w:t>
      </w:r>
    </w:p>
    <w:p w14:paraId="20410B27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7A55AC35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II.-….</w:t>
      </w:r>
    </w:p>
    <w:p w14:paraId="43BC73AD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</w:pPr>
    </w:p>
    <w:p w14:paraId="2FAE8898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  <w:t>ART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ÍCULO 11.-</w:t>
      </w:r>
    </w:p>
    <w:p w14:paraId="55BAF367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pt-PT"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Vencido el plazo a que se hace mención en el </w:t>
      </w:r>
      <w:proofErr w:type="spellStart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artí</w:t>
      </w:r>
      <w:proofErr w:type="spellEnd"/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pt-PT" w:eastAsia="es-MX"/>
        </w:rPr>
        <w:t xml:space="preserve">culo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>sé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pt-PT" w:eastAsia="es-MX"/>
        </w:rPr>
        <w:t xml:space="preserve">ptimo de este Reglamento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la Secretaría del Ayuntamiento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it-IT" w:eastAsia="es-MX"/>
        </w:rPr>
        <w:t>convocar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á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it-IT" w:eastAsia="es-MX"/>
        </w:rPr>
        <w:t>al Comit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é de Evaluación a una primera reunión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lang w:eastAsia="es-MX"/>
        </w:rPr>
        <w:t>que tendrá verificativo a más tardar en los siguientes cinco días hábiles emitida la convocatoria, la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 cual tendrá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pt-PT" w:eastAsia="es-MX"/>
        </w:rPr>
        <w:t>como objetivo:</w:t>
      </w:r>
    </w:p>
    <w:p w14:paraId="00189B80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iCs/>
          <w:color w:val="000000"/>
          <w:sz w:val="22"/>
          <w:szCs w:val="22"/>
          <w:u w:color="000000"/>
          <w:lang w:eastAsia="es-MX"/>
        </w:rPr>
      </w:pPr>
    </w:p>
    <w:p w14:paraId="4B123240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de-DE"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de-DE" w:eastAsia="es-MX"/>
        </w:rPr>
        <w:t>I a II.- ...</w:t>
      </w:r>
    </w:p>
    <w:p w14:paraId="141E964C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</w:pPr>
    </w:p>
    <w:p w14:paraId="7478A8F0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val="de-DE" w:eastAsia="es-MX"/>
        </w:rPr>
        <w:t>ART</w:t>
      </w:r>
      <w:r w:rsidRPr="00AC6358">
        <w:rPr>
          <w:rFonts w:ascii="Arial" w:eastAsia="Calibri" w:hAnsi="Arial" w:cs="Arial"/>
          <w:b/>
          <w:bCs/>
          <w:iCs/>
          <w:color w:val="000000"/>
          <w:sz w:val="22"/>
          <w:szCs w:val="22"/>
          <w:u w:color="000000"/>
          <w:lang w:eastAsia="es-MX"/>
        </w:rPr>
        <w:t>ÍCULO 12.-</w:t>
      </w:r>
    </w:p>
    <w:p w14:paraId="53F5FC64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eastAsia="Arial" w:hAnsi="Arial" w:cs="Arial"/>
          <w:iCs/>
          <w:color w:val="000000"/>
          <w:sz w:val="22"/>
          <w:szCs w:val="22"/>
          <w:u w:color="000000"/>
          <w:lang w:eastAsia="es-MX"/>
        </w:rPr>
      </w:pP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lastRenderedPageBreak/>
        <w:t xml:space="preserve">Celebrada la primera reunión, la Secretaría del R. Ayuntamiento convocara 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val="it-IT" w:eastAsia="es-MX"/>
        </w:rPr>
        <w:t>al Comit</w:t>
      </w:r>
      <w:r w:rsidRPr="00AC6358">
        <w:rPr>
          <w:rFonts w:ascii="Arial" w:eastAsia="Calibri" w:hAnsi="Arial" w:cs="Arial"/>
          <w:iCs/>
          <w:color w:val="000000"/>
          <w:sz w:val="22"/>
          <w:szCs w:val="22"/>
          <w:u w:color="000000"/>
          <w:lang w:eastAsia="es-MX"/>
        </w:rPr>
        <w:t xml:space="preserve">é de Evaluación en un plazo no mayor a cinco días hábiles, por mayoría de votos, se elegirá a las personas que el Comité considere son merecedoras a recibir las preseas, elaborándose un dictamen que será sometido a la aprobación del Cabildo del R. Ayuntamiento de Torreón, Coahuila de Zaragoza. </w:t>
      </w:r>
    </w:p>
    <w:p w14:paraId="1EE07640" w14:textId="77777777" w:rsidR="00AC6358" w:rsidRPr="00AC6358" w:rsidRDefault="00AC6358" w:rsidP="00AC6358">
      <w:pPr>
        <w:pStyle w:val="Sinespaciado"/>
        <w:spacing w:line="276" w:lineRule="auto"/>
        <w:ind w:right="49"/>
        <w:jc w:val="both"/>
        <w:rPr>
          <w:rFonts w:ascii="Arial" w:hAnsi="Arial" w:cs="Arial"/>
          <w:iCs/>
        </w:rPr>
      </w:pPr>
    </w:p>
    <w:p w14:paraId="24253AA3" w14:textId="77777777" w:rsidR="00AC6358" w:rsidRPr="00AC6358" w:rsidRDefault="00AC6358" w:rsidP="00AC6358">
      <w:pPr>
        <w:spacing w:line="276" w:lineRule="auto"/>
        <w:ind w:right="49"/>
        <w:jc w:val="center"/>
        <w:rPr>
          <w:rFonts w:ascii="Arial" w:hAnsi="Arial" w:cs="Arial"/>
          <w:b/>
          <w:iCs/>
          <w:sz w:val="22"/>
          <w:szCs w:val="22"/>
        </w:rPr>
      </w:pPr>
      <w:r w:rsidRPr="00AC6358">
        <w:rPr>
          <w:rFonts w:ascii="Arial" w:hAnsi="Arial" w:cs="Arial"/>
          <w:b/>
          <w:iCs/>
          <w:sz w:val="22"/>
          <w:szCs w:val="22"/>
        </w:rPr>
        <w:t>TRANSITORIOS</w:t>
      </w:r>
    </w:p>
    <w:p w14:paraId="43473A55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  <w:r w:rsidRPr="00AC6358">
        <w:rPr>
          <w:rFonts w:ascii="Arial" w:hAnsi="Arial" w:cs="Arial"/>
          <w:b/>
          <w:iCs/>
          <w:sz w:val="22"/>
          <w:szCs w:val="22"/>
        </w:rPr>
        <w:t>PRIMERO</w:t>
      </w:r>
      <w:r w:rsidRPr="00AC6358">
        <w:rPr>
          <w:rFonts w:ascii="Arial" w:hAnsi="Arial" w:cs="Arial"/>
          <w:iCs/>
          <w:sz w:val="22"/>
          <w:szCs w:val="22"/>
        </w:rPr>
        <w:t>. La presente reforma entrará en vigor al día siguiente de su publicación en la Gaceta Municipal.</w:t>
      </w:r>
    </w:p>
    <w:p w14:paraId="1E95B4C9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hAnsi="Arial" w:cs="Arial"/>
          <w:b/>
          <w:iCs/>
          <w:sz w:val="22"/>
          <w:szCs w:val="22"/>
        </w:rPr>
      </w:pPr>
    </w:p>
    <w:p w14:paraId="704537B1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  <w:r w:rsidRPr="00AC6358">
        <w:rPr>
          <w:rFonts w:ascii="Arial" w:hAnsi="Arial" w:cs="Arial"/>
          <w:b/>
          <w:iCs/>
          <w:sz w:val="22"/>
          <w:szCs w:val="22"/>
        </w:rPr>
        <w:t>SEGUNDO</w:t>
      </w:r>
      <w:r w:rsidRPr="00AC6358">
        <w:rPr>
          <w:rFonts w:ascii="Arial" w:hAnsi="Arial" w:cs="Arial"/>
          <w:iCs/>
          <w:sz w:val="22"/>
          <w:szCs w:val="22"/>
        </w:rPr>
        <w:t xml:space="preserve">. Se instruye a la Secretaría del Republicano Ayuntamiento, para que solicite la publicación de la presente reforma en el Periódico Oficial del Estado de Coahuila de Zaragoza. </w:t>
      </w:r>
    </w:p>
    <w:p w14:paraId="2A7675BE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hAnsi="Arial" w:cs="Arial"/>
          <w:b/>
          <w:iCs/>
          <w:sz w:val="22"/>
          <w:szCs w:val="22"/>
        </w:rPr>
      </w:pPr>
    </w:p>
    <w:p w14:paraId="1D8FB7FE" w14:textId="77777777" w:rsidR="00AC6358" w:rsidRPr="00AC6358" w:rsidRDefault="00AC6358" w:rsidP="00AC6358">
      <w:pPr>
        <w:spacing w:line="276" w:lineRule="auto"/>
        <w:ind w:right="49"/>
        <w:jc w:val="both"/>
        <w:rPr>
          <w:rFonts w:ascii="Arial" w:hAnsi="Arial" w:cs="Arial"/>
          <w:iCs/>
          <w:sz w:val="22"/>
          <w:szCs w:val="22"/>
        </w:rPr>
      </w:pPr>
      <w:r w:rsidRPr="00AC6358">
        <w:rPr>
          <w:rFonts w:ascii="Arial" w:hAnsi="Arial" w:cs="Arial"/>
          <w:b/>
          <w:iCs/>
          <w:sz w:val="22"/>
          <w:szCs w:val="22"/>
        </w:rPr>
        <w:t>TERCERO</w:t>
      </w:r>
      <w:r w:rsidRPr="00AC6358">
        <w:rPr>
          <w:rFonts w:ascii="Arial" w:hAnsi="Arial" w:cs="Arial"/>
          <w:iCs/>
          <w:sz w:val="22"/>
          <w:szCs w:val="22"/>
        </w:rPr>
        <w:t>. Se derogan todas las disposiciones reglamentarias, administrativas, circulares, acuerdos y normativas que contravenga el contenido del presente Reglamento.</w:t>
      </w:r>
    </w:p>
    <w:p w14:paraId="2D924711" w14:textId="77777777" w:rsidR="00DF5DCA" w:rsidRDefault="00DF5DCA">
      <w:pPr>
        <w:rPr>
          <w:rFonts w:ascii="Arial" w:hAnsi="Arial" w:cs="Arial"/>
          <w:sz w:val="22"/>
          <w:szCs w:val="22"/>
        </w:rPr>
      </w:pPr>
    </w:p>
    <w:p w14:paraId="5FBD2F11" w14:textId="77777777" w:rsidR="00F436DB" w:rsidRPr="003A2AF8" w:rsidRDefault="00F436DB" w:rsidP="00F436DB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A2AF8">
        <w:rPr>
          <w:rFonts w:ascii="Arial" w:hAnsi="Arial" w:cs="Arial"/>
          <w:iCs/>
          <w:sz w:val="22"/>
          <w:szCs w:val="22"/>
        </w:rPr>
        <w:t xml:space="preserve">Dado en la Ciudad de Torreón, Coahuila de Zaragoza a los </w:t>
      </w:r>
      <w:r>
        <w:rPr>
          <w:rFonts w:ascii="Arial" w:hAnsi="Arial" w:cs="Arial"/>
          <w:iCs/>
          <w:sz w:val="22"/>
          <w:szCs w:val="22"/>
        </w:rPr>
        <w:t>ocho</w:t>
      </w:r>
      <w:r w:rsidRPr="003A2AF8">
        <w:rPr>
          <w:rFonts w:ascii="Arial" w:hAnsi="Arial" w:cs="Arial"/>
          <w:iCs/>
          <w:sz w:val="22"/>
          <w:szCs w:val="22"/>
        </w:rPr>
        <w:t xml:space="preserve"> días del mes de </w:t>
      </w:r>
      <w:r>
        <w:rPr>
          <w:rFonts w:ascii="Arial" w:hAnsi="Arial" w:cs="Arial"/>
          <w:iCs/>
          <w:sz w:val="22"/>
          <w:szCs w:val="22"/>
        </w:rPr>
        <w:t>junio</w:t>
      </w:r>
      <w:r w:rsidRPr="003A2AF8">
        <w:rPr>
          <w:rFonts w:ascii="Arial" w:hAnsi="Arial" w:cs="Arial"/>
          <w:iCs/>
          <w:sz w:val="22"/>
          <w:szCs w:val="22"/>
        </w:rPr>
        <w:t xml:space="preserve"> de dos mil veinti</w:t>
      </w:r>
      <w:r>
        <w:rPr>
          <w:rFonts w:ascii="Arial" w:hAnsi="Arial" w:cs="Arial"/>
          <w:iCs/>
          <w:sz w:val="22"/>
          <w:szCs w:val="22"/>
        </w:rPr>
        <w:t>trés</w:t>
      </w:r>
      <w:r w:rsidRPr="003A2AF8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A2AF8">
        <w:rPr>
          <w:rFonts w:ascii="Arial" w:hAnsi="Arial" w:cs="Arial"/>
          <w:iCs/>
          <w:sz w:val="22"/>
          <w:szCs w:val="22"/>
        </w:rPr>
        <w:t xml:space="preserve"> </w:t>
      </w:r>
    </w:p>
    <w:p w14:paraId="77C37B7C" w14:textId="77777777" w:rsidR="00F436DB" w:rsidRPr="003A2AF8" w:rsidRDefault="00F436DB" w:rsidP="00F436D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823C84E" w14:textId="77777777" w:rsidR="00FB1D92" w:rsidRDefault="00FB1D92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653BDC" w14:textId="0E7C7867" w:rsidR="00F436DB" w:rsidRPr="003A2AF8" w:rsidRDefault="00F436DB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PRESIDENTE MUNICIPAL DE TORREÓN</w:t>
      </w:r>
    </w:p>
    <w:p w14:paraId="43B62B7B" w14:textId="77777777" w:rsidR="00F436DB" w:rsidRPr="003A2AF8" w:rsidRDefault="00F436DB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AEEF3E" w14:textId="77777777" w:rsidR="00F436DB" w:rsidRDefault="00F436DB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1CE408" w14:textId="77777777" w:rsidR="00F436DB" w:rsidRDefault="00F436DB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64DDD2" w14:textId="19FC496F" w:rsidR="00F436DB" w:rsidRDefault="00F436DB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LIC. ROMÁN ALBERTO CEPEDA GONZÁLEZ</w:t>
      </w:r>
    </w:p>
    <w:p w14:paraId="7E99E2F7" w14:textId="37481E1E" w:rsidR="00ED1F7C" w:rsidRDefault="00ED1F7C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RUBRICA</w:t>
      </w:r>
    </w:p>
    <w:p w14:paraId="239EB61B" w14:textId="77777777" w:rsidR="00F436DB" w:rsidRPr="003A2AF8" w:rsidRDefault="00F436DB" w:rsidP="00F436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BCE41B" w14:textId="77777777" w:rsidR="00F436DB" w:rsidRPr="003A2AF8" w:rsidRDefault="00F436DB" w:rsidP="00F436D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SECRETARIA DEL R.  AYUNTAMIENTO</w:t>
      </w:r>
    </w:p>
    <w:p w14:paraId="5B879F6C" w14:textId="77777777" w:rsidR="00F436DB" w:rsidRPr="003A2AF8" w:rsidRDefault="00F436DB" w:rsidP="00F436D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CFBD43D" w14:textId="77777777" w:rsidR="00F436DB" w:rsidRPr="003A2AF8" w:rsidRDefault="00F436DB" w:rsidP="00F436D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40A187A" w14:textId="77777777" w:rsidR="00F436DB" w:rsidRDefault="00F436DB" w:rsidP="00F436D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259E4F2" w14:textId="64B8325F" w:rsidR="00F436DB" w:rsidRDefault="00F436DB" w:rsidP="00F436D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A2AF8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CDA</w:t>
      </w:r>
      <w:r w:rsidRPr="003A2AF8">
        <w:rPr>
          <w:rFonts w:ascii="Arial" w:hAnsi="Arial" w:cs="Arial"/>
          <w:b/>
          <w:sz w:val="22"/>
          <w:szCs w:val="22"/>
        </w:rPr>
        <w:t>. NATALIA GUADALUPE FERNÁNDEZ MARTÍNEZ</w:t>
      </w:r>
    </w:p>
    <w:p w14:paraId="09715FAD" w14:textId="4C1C235E" w:rsidR="00ED1F7C" w:rsidRDefault="00ED1F7C" w:rsidP="00ED1F7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RUBRICA</w:t>
      </w:r>
    </w:p>
    <w:sectPr w:rsidR="00ED1F7C" w:rsidSect="00132611">
      <w:footerReference w:type="default" r:id="rId7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336A" w14:textId="77777777" w:rsidR="00B13FE4" w:rsidRDefault="00B13FE4" w:rsidP="00F436DB">
      <w:r>
        <w:separator/>
      </w:r>
    </w:p>
  </w:endnote>
  <w:endnote w:type="continuationSeparator" w:id="0">
    <w:p w14:paraId="50B9E8F7" w14:textId="77777777" w:rsidR="00B13FE4" w:rsidRDefault="00B13FE4" w:rsidP="00F4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480162"/>
      <w:docPartObj>
        <w:docPartGallery w:val="Page Numbers (Bottom of Page)"/>
        <w:docPartUnique/>
      </w:docPartObj>
    </w:sdtPr>
    <w:sdtEndPr/>
    <w:sdtContent>
      <w:p w14:paraId="3D2CA16F" w14:textId="77777777" w:rsidR="00F436DB" w:rsidRDefault="00F43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9F14B" w14:textId="77777777" w:rsidR="00F436DB" w:rsidRDefault="00F436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97CF" w14:textId="77777777" w:rsidR="00B13FE4" w:rsidRDefault="00B13FE4" w:rsidP="00F436DB">
      <w:r>
        <w:separator/>
      </w:r>
    </w:p>
  </w:footnote>
  <w:footnote w:type="continuationSeparator" w:id="0">
    <w:p w14:paraId="14E81E56" w14:textId="77777777" w:rsidR="00B13FE4" w:rsidRDefault="00B13FE4" w:rsidP="00F4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E3C99"/>
    <w:multiLevelType w:val="hybridMultilevel"/>
    <w:tmpl w:val="FABA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698"/>
    <w:multiLevelType w:val="hybridMultilevel"/>
    <w:tmpl w:val="C62AE2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58"/>
    <w:rsid w:val="000A1F20"/>
    <w:rsid w:val="00132611"/>
    <w:rsid w:val="001476DF"/>
    <w:rsid w:val="00310C50"/>
    <w:rsid w:val="00422A63"/>
    <w:rsid w:val="005C4E39"/>
    <w:rsid w:val="0074220E"/>
    <w:rsid w:val="008C6A03"/>
    <w:rsid w:val="00A3194E"/>
    <w:rsid w:val="00AC6358"/>
    <w:rsid w:val="00B13FE4"/>
    <w:rsid w:val="00B30F45"/>
    <w:rsid w:val="00B425D3"/>
    <w:rsid w:val="00BE7DA7"/>
    <w:rsid w:val="00C27F6B"/>
    <w:rsid w:val="00CD5FE4"/>
    <w:rsid w:val="00DF5DCA"/>
    <w:rsid w:val="00E80CA9"/>
    <w:rsid w:val="00ED1F7C"/>
    <w:rsid w:val="00F436DB"/>
    <w:rsid w:val="00F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9401"/>
  <w15:chartTrackingRefBased/>
  <w15:docId w15:val="{751E4806-6FDC-423F-A4BC-B967C22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C6358"/>
    <w:pPr>
      <w:ind w:left="720"/>
      <w:contextualSpacing/>
    </w:pPr>
  </w:style>
  <w:style w:type="paragraph" w:styleId="Sinespaciado">
    <w:name w:val="No Spacing"/>
    <w:aliases w:val="Centrado Negritas,ABA PIE PAG"/>
    <w:link w:val="SinespaciadoCar"/>
    <w:uiPriority w:val="1"/>
    <w:qFormat/>
    <w:rsid w:val="00AC63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basedOn w:val="Fuentedeprrafopredeter"/>
    <w:link w:val="Sinespaciado"/>
    <w:uiPriority w:val="1"/>
    <w:rsid w:val="00AC6358"/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63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436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6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36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6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Villa Tapia</dc:creator>
  <cp:keywords/>
  <dc:description/>
  <cp:lastModifiedBy>Guadalupe Villa Tapia</cp:lastModifiedBy>
  <cp:revision>5</cp:revision>
  <cp:lastPrinted>2023-06-09T19:33:00Z</cp:lastPrinted>
  <dcterms:created xsi:type="dcterms:W3CDTF">2023-06-09T19:26:00Z</dcterms:created>
  <dcterms:modified xsi:type="dcterms:W3CDTF">2023-06-12T18:16:00Z</dcterms:modified>
</cp:coreProperties>
</file>